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Photolangage Se Protéger: liste des images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Etape 1 se protéger (sécurité)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Bouée de sauvetage</w:t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Alarme de sécurité</w:t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Cadenas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Antivol de vélo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Caméra de sécurité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Casque de chantier</w:t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Extincteur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Interphone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Panneaux sécurité</w:t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Signal sortie de secours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Signal STOP</w:t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Clés voiture</w:t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  <w:t xml:space="preserve">Feu de circulation</w:t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Étape 2 se protéger (GSM). </w:t>
      </w:r>
    </w:p>
    <w:p w:rsidR="00000000" w:rsidDel="00000000" w:rsidP="00000000" w:rsidRDefault="00000000" w:rsidRPr="00000000" w14:paraId="00000014">
      <w:pPr>
        <w:spacing w:line="276" w:lineRule="auto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Coque de téléphone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Protecteur d’écran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Cordon pour GSM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GSM avec code PIN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GSM avec reconnaissance faciale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GSM avec empreinte digitale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GSM avec code schéma 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GSM avec mot de passe</w:t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Étape 3,4 se protéger (bonnes pratiques). </w:t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Créer des mots de passe difficiles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Avoir différents mots de passe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Faire attention à bien garder les mots de passe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Sauvegarder régulièrement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Mise à jour des appareils et logiciels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Utilisation d’un </w:t>
      </w:r>
      <w:r w:rsidDel="00000000" w:rsidR="00000000" w:rsidRPr="00000000">
        <w:rPr>
          <w:rtl w:val="0"/>
        </w:rPr>
        <w:t xml:space="preserve">antivirus_1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Utilisation d’un </w:t>
      </w:r>
      <w:r w:rsidDel="00000000" w:rsidR="00000000" w:rsidRPr="00000000">
        <w:rPr>
          <w:rtl w:val="0"/>
        </w:rPr>
        <w:t xml:space="preserve">antivirus_2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Utilisation d’un </w:t>
      </w:r>
      <w:r w:rsidDel="00000000" w:rsidR="00000000" w:rsidRPr="00000000">
        <w:rPr>
          <w:rtl w:val="0"/>
        </w:rPr>
        <w:t xml:space="preserve">antivirus_3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Se méfier des réseaux Wi-Fi publics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Contrôler les paramètres (les permissions, l'accessibilité et les options de confidentialité de vos appareils).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